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Strömstad kommunfullmäktige</w:t>
      </w:r>
    </w:p>
    <w:p>
      <w:pPr>
        <w:pStyle w:val="Heading1"/>
      </w:pPr>
      <w:r>
        <w:t xml:space="preserve">Säkrare och bättre cykelvägar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Strömstad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Trafikverket rapporterar hög olycksrisk på E6-sträckan genom Strömstad. Cykelvägar saknas mellan centrum och hamnen samt till Norgegränsen. Kommunen har potential som cykelturistdestination.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Strömstad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tekniska nämnden får i uppdrag att ta fram en cykelplan med prioritering av E6 och kuststråket.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3 mnkr avsätts för byggnation av separata cykelvägar 2027–2028.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norska myndigheter inleds för gränsöverskridande cykelväg.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cykelräknare installeras för att mäta nyttjande.</w:t>
      </w:r>
    </w:p>
    <w:p>
      <w:pPr>
        <w:spacing w:before="360"/>
      </w:pPr>
    </w:p>
    <w:p>
      <w:r>
        <w:t xml:space="preserve">Strömstad,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Strömstad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2026-07-14T05:10:02.698Z</dcterms:created>
  <dcterms:modified xsi:type="dcterms:W3CDTF">2026-07-14T05:10:02.698Z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